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ind w:left="0" w:right="0" w:hanging="0"/>
        <w:jc w:val="center"/>
        <w:rPr/>
      </w:pPr>
      <w:r>
        <w:rPr>
          <w:rFonts w:ascii="Times New Roman" w:hAnsi="Times New Roman"/>
          <w:b/>
          <w:sz w:val="24"/>
          <w:szCs w:val="24"/>
        </w:rPr>
        <w:t xml:space="preserve"> </w:t>
      </w:r>
      <w:r>
        <w:rPr>
          <w:rFonts w:ascii="Times New Roman" w:hAnsi="Times New Roman"/>
          <w:b/>
          <w:sz w:val="28"/>
          <w:szCs w:val="28"/>
        </w:rPr>
        <w:t xml:space="preserve">Требования к содержанию, составу заявки на участие в электронном аукционе </w:t>
      </w:r>
    </w:p>
    <w:p>
      <w:pPr>
        <w:pStyle w:val="Normal"/>
        <w:bidi w:val="0"/>
        <w:spacing w:before="0" w:after="0"/>
        <w:ind w:left="0" w:right="0" w:hanging="0"/>
        <w:jc w:val="center"/>
        <w:rPr>
          <w:rFonts w:ascii="Times New Roman" w:hAnsi="Times New Roman"/>
          <w:b/>
          <w:b/>
          <w:sz w:val="28"/>
          <w:szCs w:val="28"/>
        </w:rPr>
      </w:pPr>
      <w:r>
        <w:rPr>
          <w:rFonts w:ascii="Times New Roman" w:hAnsi="Times New Roman"/>
          <w:b/>
          <w:sz w:val="28"/>
          <w:szCs w:val="28"/>
        </w:rPr>
        <w:t>и инструкция по ее заполнению</w:t>
      </w:r>
    </w:p>
    <w:p>
      <w:pPr>
        <w:pStyle w:val="Normal"/>
        <w:bidi w:val="0"/>
        <w:spacing w:before="0" w:after="0"/>
        <w:ind w:left="0" w:right="0" w:hanging="0"/>
        <w:jc w:val="both"/>
        <w:rPr>
          <w:rFonts w:ascii="Times New Roman" w:hAnsi="Times New Roman"/>
          <w:b/>
          <w:b/>
          <w:sz w:val="24"/>
          <w:szCs w:val="24"/>
        </w:rPr>
      </w:pPr>
      <w:r>
        <w:rPr>
          <w:rFonts w:ascii="Times New Roman" w:hAnsi="Times New Roman"/>
          <w:b/>
          <w:sz w:val="24"/>
          <w:szCs w:val="24"/>
        </w:rPr>
      </w:r>
    </w:p>
    <w:p>
      <w:pPr>
        <w:pStyle w:val="Normal"/>
        <w:bidi w:val="0"/>
        <w:spacing w:before="0" w:after="0"/>
        <w:ind w:left="0" w:right="0" w:hanging="0"/>
        <w:jc w:val="center"/>
        <w:rPr>
          <w:rFonts w:ascii="Times New Roman" w:hAnsi="Times New Roman"/>
          <w:sz w:val="24"/>
          <w:szCs w:val="24"/>
        </w:rPr>
      </w:pPr>
      <w:r>
        <w:rPr>
          <w:rFonts w:ascii="Times New Roman" w:hAnsi="Times New Roman"/>
          <w:sz w:val="24"/>
          <w:szCs w:val="24"/>
        </w:rPr>
        <w:t xml:space="preserve"> </w:t>
      </w:r>
    </w:p>
    <w:p>
      <w:pPr>
        <w:pStyle w:val="Normal"/>
        <w:bidi w:val="0"/>
        <w:spacing w:before="0" w:after="0"/>
        <w:ind w:left="0" w:right="0" w:hanging="0"/>
        <w:rPr>
          <w:lang w:val="en-US"/>
        </w:rPr>
      </w:pPr>
      <w:r>
        <w:rPr>
          <w:rFonts w:ascii="Times New Roman" w:hAnsi="Times New Roman"/>
          <w:b/>
          <w:sz w:val="24"/>
          <w:szCs w:val="24"/>
          <w:lang w:val="en-US"/>
        </w:rPr>
        <w:t>I</w:t>
      </w:r>
      <w:r>
        <w:rPr>
          <w:rFonts w:ascii="Times New Roman" w:hAnsi="Times New Roman"/>
          <w:b/>
          <w:sz w:val="24"/>
          <w:szCs w:val="24"/>
        </w:rPr>
        <w:t>. Требования к содержанию, составу заявки на участие в электронном аукционе</w:t>
      </w:r>
    </w:p>
    <w:p>
      <w:pPr>
        <w:pStyle w:val="Normal"/>
        <w:shd w:fill="FFFFFF"/>
        <w:bidi w:val="0"/>
        <w:spacing w:before="210" w:after="0"/>
        <w:ind w:left="0" w:right="0"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1. Для участия в конкурентном способе заявка на участие в закупке, если иное не предусмотрено настоящим Федеральным законом, должна содержать:</w:t>
      </w:r>
    </w:p>
    <w:p>
      <w:pPr>
        <w:pStyle w:val="Normal"/>
        <w:shd w:fill="FFFFFF"/>
        <w:bidi w:val="0"/>
        <w:spacing w:before="210" w:after="0"/>
        <w:ind w:left="0" w:right="0"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1) информацию и документы об участнике закупки:</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Normal"/>
        <w:bidi w:val="0"/>
        <w:spacing w:before="0" w:after="0"/>
        <w:ind w:left="0" w:right="0" w:hanging="0"/>
        <w:jc w:val="both"/>
        <w:rPr/>
      </w:pPr>
      <w:r>
        <w:rPr>
          <w:rFonts w:ascii="Times New Roman" w:hAnsi="Times New Roman"/>
          <w:sz w:val="24"/>
          <w:szCs w:val="24"/>
          <w:lang w:eastAsia="ru-RU"/>
        </w:rPr>
        <w:t>в) идентификационный номер налогоплательщика (при наличии) лиц, указанных в </w:t>
      </w:r>
      <w:r>
        <w:fldChar w:fldCharType="begin"/>
      </w:r>
      <w:r>
        <w:rPr>
          <w:sz w:val="24"/>
          <w:u w:val="single"/>
          <w:szCs w:val="24"/>
          <w:rFonts w:ascii="Times New Roman" w:hAnsi="Times New Roman"/>
          <w:color w:val="1A0DAB"/>
          <w:lang w:eastAsia="ru-RU"/>
        </w:rPr>
        <w:instrText xml:space="preserve"> HYPERLINK "http://www.consultant.ru/document/cons_doc_LAW_388926/8c12a3ec10bf313c4b2fb441eb21b9a04616fd9e/" \l "dst2014"</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пунктах 2</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и </w:t>
      </w:r>
      <w:r>
        <w:fldChar w:fldCharType="begin"/>
      </w:r>
      <w:r>
        <w:rPr>
          <w:sz w:val="24"/>
          <w:u w:val="single"/>
          <w:szCs w:val="24"/>
          <w:rFonts w:ascii="Times New Roman" w:hAnsi="Times New Roman"/>
          <w:color w:val="1A0DAB"/>
          <w:lang w:eastAsia="ru-RU"/>
        </w:rPr>
        <w:instrText xml:space="preserve"> HYPERLINK "http://www.consultant.ru/document/cons_doc_LAW_388926/8c12a3ec10bf313c4b2fb441eb21b9a04616fd9e/" \l "dst2015"</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3 части 3 статьи 104</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Федерального закона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Normal"/>
        <w:bidi w:val="0"/>
        <w:spacing w:before="0" w:after="0"/>
        <w:ind w:left="0" w:right="0" w:hanging="0"/>
        <w:jc w:val="both"/>
        <w:rPr>
          <w:rFonts w:ascii="Times New Roman" w:hAnsi="Times New Roman"/>
          <w:color w:val="000000"/>
          <w:sz w:val="24"/>
          <w:szCs w:val="24"/>
          <w:lang w:eastAsia="ru-RU"/>
        </w:rPr>
      </w:pPr>
      <w:r>
        <w:rPr>
          <w:rFonts w:ascii="Times New Roman" w:hAnsi="Times New Roman"/>
          <w:color w:val="000000"/>
          <w:sz w:val="24"/>
          <w:szCs w:val="24"/>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Normal"/>
        <w:bidi w:val="0"/>
        <w:spacing w:before="0" w:after="0"/>
        <w:ind w:left="0" w:right="0" w:hanging="0"/>
        <w:jc w:val="both"/>
        <w:rPr>
          <w:rFonts w:ascii="Times New Roman" w:hAnsi="Times New Roman"/>
          <w:color w:val="000000"/>
          <w:sz w:val="24"/>
          <w:szCs w:val="24"/>
          <w:lang w:eastAsia="ru-RU"/>
        </w:rPr>
      </w:pPr>
      <w:r>
        <w:rPr>
          <w:rFonts w:ascii="Times New Roman" w:hAnsi="Times New Roman"/>
          <w:color w:val="000000"/>
          <w:sz w:val="24"/>
          <w:szCs w:val="24"/>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Normal"/>
        <w:bidi w:val="0"/>
        <w:spacing w:before="0" w:after="0"/>
        <w:ind w:left="0" w:right="0" w:hanging="0"/>
        <w:jc w:val="both"/>
        <w:rPr>
          <w:rFonts w:ascii="Times New Roman" w:hAnsi="Times New Roman"/>
          <w:color w:val="000000"/>
          <w:sz w:val="24"/>
          <w:szCs w:val="24"/>
          <w:lang w:eastAsia="ru-RU"/>
        </w:rPr>
      </w:pPr>
      <w:r>
        <w:rPr>
          <w:rFonts w:ascii="Times New Roman" w:hAnsi="Times New Roman"/>
          <w:color w:val="000000"/>
          <w:sz w:val="24"/>
          <w:szCs w:val="24"/>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Normal"/>
        <w:bidi w:val="0"/>
        <w:spacing w:before="0" w:after="0"/>
        <w:ind w:left="0" w:right="0" w:hanging="0"/>
        <w:jc w:val="both"/>
        <w:rPr/>
      </w:pPr>
      <w:r>
        <w:rPr>
          <w:rFonts w:ascii="Times New Roman" w:hAnsi="Times New Roman"/>
          <w:sz w:val="24"/>
          <w:szCs w:val="24"/>
          <w:lang w:eastAsia="ru-RU"/>
        </w:rPr>
        <w:t>к) декларация о принадлежности участника закупки к организации инвалидов, предусмотренной </w:t>
      </w:r>
      <w:r>
        <w:fldChar w:fldCharType="begin"/>
      </w:r>
      <w:r>
        <w:rPr>
          <w:sz w:val="24"/>
          <w:u w:val="single"/>
          <w:szCs w:val="24"/>
          <w:rFonts w:ascii="Times New Roman" w:hAnsi="Times New Roman"/>
          <w:color w:val="1A0DAB"/>
          <w:lang w:eastAsia="ru-RU"/>
        </w:rPr>
        <w:instrText xml:space="preserve"> HYPERLINK "http://www.consultant.ru/document/cons_doc_LAW_388926/650fc4ffae5f990da12b3a59440a91e52dc9b7b8/" \l "dst2205"</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частью 2 статьи 29</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Федерального закона №44-ФЗ (если участник закупки является такой организацией);</w:t>
      </w:r>
    </w:p>
    <w:p>
      <w:pPr>
        <w:pStyle w:val="Normal"/>
        <w:bidi w:val="0"/>
        <w:spacing w:before="0" w:after="0"/>
        <w:ind w:left="0" w:right="0" w:hanging="0"/>
        <w:jc w:val="both"/>
        <w:rPr/>
      </w:pPr>
      <w:r>
        <w:rPr>
          <w:rFonts w:ascii="Times New Roman" w:hAnsi="Times New Roman"/>
          <w:sz w:val="24"/>
          <w:szCs w:val="24"/>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r>
        <w:fldChar w:fldCharType="begin"/>
      </w:r>
      <w:r>
        <w:rPr>
          <w:sz w:val="24"/>
          <w:u w:val="single"/>
          <w:szCs w:val="24"/>
          <w:rFonts w:ascii="Times New Roman" w:hAnsi="Times New Roman"/>
          <w:color w:val="1A0DAB"/>
          <w:lang w:eastAsia="ru-RU"/>
        </w:rPr>
        <w:instrText xml:space="preserve"> HYPERLINK "http://www.consultant.ru/document/cons_doc_LAW_388926/3cd4512b8c634f543d68d0da993c1bcb17a24bb8/" \l "dst2211"</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частью 3 статьи 30</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Федерального закона №44-ФЗ;</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Normal"/>
        <w:bidi w:val="0"/>
        <w:spacing w:before="0" w:after="0"/>
        <w:ind w:left="0" w:right="0" w:hanging="0"/>
        <w:jc w:val="both"/>
        <w:rPr/>
      </w:pPr>
      <w:r>
        <w:rPr>
          <w:rFonts w:ascii="Times New Roman" w:hAnsi="Times New Roman"/>
          <w:sz w:val="24"/>
          <w:szCs w:val="24"/>
          <w:lang w:eastAsia="ru-RU"/>
        </w:rPr>
        <w:t>н) документы, подтверждающие соответствие участника закупки требованиям, установленным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"dst100336"</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пунктом 1 части 1 статьи 31</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Федерального закона №44-ФЗ, документы, подтверждающие соответствие участника закупки дополнительным требованиям, установленным в соответствии с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"dst2216"</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частями 2</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и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"dst2217"</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2.1</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(при наличии таких требований) статьи 31 настоящего Федерального закона, если иное не предусмотрено настоящим Федеральным законом;</w:t>
      </w:r>
    </w:p>
    <w:p>
      <w:pPr>
        <w:pStyle w:val="Normal"/>
        <w:bidi w:val="0"/>
        <w:spacing w:before="0" w:after="0"/>
        <w:ind w:left="0" w:right="0" w:hanging="0"/>
        <w:jc w:val="both"/>
        <w:rPr/>
      </w:pPr>
      <w:r>
        <w:rPr>
          <w:rFonts w:ascii="Times New Roman" w:hAnsi="Times New Roman"/>
          <w:sz w:val="24"/>
          <w:szCs w:val="24"/>
          <w:lang w:eastAsia="ru-RU"/>
        </w:rPr>
        <w:t>о) декларация о соответствии участника закупки требованиям, установленным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"dst100338"</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пунктами 3</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"dst100340"</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5</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"dst296"</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7</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 </w:t>
      </w:r>
      <w:r>
        <w:fldChar w:fldCharType="begin"/>
      </w:r>
      <w:r>
        <w:rPr>
          <w:sz w:val="24"/>
          <w:u w:val="single"/>
          <w:szCs w:val="24"/>
          <w:rFonts w:ascii="Times New Roman" w:hAnsi="Times New Roman"/>
          <w:color w:val="1A0DAB"/>
          <w:lang w:eastAsia="ru-RU"/>
        </w:rPr>
        <w:instrText xml:space="preserve"> HYPERLINK "http://www.consultant.ru/document/cons_doc_LAW_388926/be7f337d9b35705ac035531878c8d15c2b09b36d/" \l "dst419"</w:instrText>
      </w:r>
      <w:r>
        <w:rPr>
          <w:sz w:val="24"/>
          <w:u w:val="single"/>
          <w:szCs w:val="24"/>
          <w:rFonts w:ascii="Times New Roman" w:hAnsi="Times New Roman"/>
          <w:color w:val="1A0DAB"/>
          <w:lang w:eastAsia="ru-RU"/>
        </w:rPr>
        <w:fldChar w:fldCharType="separate"/>
      </w:r>
      <w:r>
        <w:rPr>
          <w:rFonts w:ascii="Times New Roman" w:hAnsi="Times New Roman"/>
          <w:color w:val="1A0DAB"/>
          <w:sz w:val="24"/>
          <w:szCs w:val="24"/>
          <w:u w:val="single"/>
          <w:lang w:eastAsia="ru-RU"/>
        </w:rPr>
        <w:t>11 части 1 статьи 31</w:t>
      </w:r>
      <w:r>
        <w:rPr>
          <w:sz w:val="24"/>
          <w:u w:val="single"/>
          <w:szCs w:val="24"/>
          <w:rFonts w:ascii="Times New Roman" w:hAnsi="Times New Roman"/>
          <w:color w:val="1A0DAB"/>
          <w:lang w:eastAsia="ru-RU"/>
        </w:rPr>
        <w:fldChar w:fldCharType="end"/>
      </w:r>
      <w:r>
        <w:rPr>
          <w:rFonts w:ascii="Times New Roman" w:hAnsi="Times New Roman"/>
          <w:sz w:val="24"/>
          <w:szCs w:val="24"/>
          <w:lang w:eastAsia="ru-RU"/>
        </w:rPr>
        <w:t> настоящего Федерального закона;</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pStyle w:val="Normal"/>
        <w:bidi w:val="0"/>
        <w:spacing w:before="0" w:after="0"/>
        <w:ind w:left="0" w:right="0" w:hanging="0"/>
        <w:jc w:val="both"/>
        <w:rPr>
          <w:rFonts w:ascii="Times New Roman" w:hAnsi="Times New Roman"/>
          <w:sz w:val="24"/>
          <w:szCs w:val="24"/>
          <w:lang w:eastAsia="ru-RU"/>
        </w:rPr>
      </w:pPr>
      <w:r>
        <w:rPr>
          <w:rFonts w:ascii="Times New Roman" w:hAnsi="Times New Roman"/>
          <w:sz w:val="24"/>
          <w:szCs w:val="24"/>
          <w:lang w:eastAsia="ru-RU"/>
        </w:rPr>
        <w:t xml:space="preserve"> </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При формировании предложения участника закупки в отношении объекта закупки:</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Normal"/>
        <w:bidi w:val="0"/>
        <w:spacing w:before="0" w:after="0"/>
        <w:ind w:left="0" w:right="0" w:hanging="0"/>
        <w:rPr>
          <w:rFonts w:ascii="Times New Roman" w:hAnsi="Times New Roman"/>
          <w:b/>
          <w:b/>
          <w:sz w:val="24"/>
          <w:szCs w:val="24"/>
        </w:rPr>
      </w:pPr>
      <w:r>
        <w:rPr>
          <w:rFonts w:ascii="Times New Roman" w:hAnsi="Times New Roman"/>
          <w:b/>
          <w:sz w:val="24"/>
          <w:szCs w:val="24"/>
        </w:rPr>
      </w:r>
    </w:p>
    <w:p>
      <w:pPr>
        <w:pStyle w:val="Normal"/>
        <w:bidi w:val="0"/>
        <w:spacing w:before="0" w:after="0"/>
        <w:ind w:left="0" w:right="0" w:hanging="0"/>
        <w:rPr>
          <w:lang w:val="en-US"/>
        </w:rPr>
      </w:pPr>
      <w:r>
        <w:rPr>
          <w:rFonts w:ascii="Times New Roman" w:hAnsi="Times New Roman"/>
          <w:b/>
          <w:sz w:val="24"/>
          <w:szCs w:val="24"/>
          <w:lang w:val="en-US"/>
        </w:rPr>
        <w:t>II</w:t>
      </w:r>
      <w:r>
        <w:rPr>
          <w:rFonts w:ascii="Times New Roman" w:hAnsi="Times New Roman"/>
          <w:b/>
          <w:sz w:val="24"/>
          <w:szCs w:val="24"/>
        </w:rPr>
        <w:t>.  Инструкция по заполнению заявки на участие в электронном аукционе</w:t>
      </w:r>
    </w:p>
    <w:p>
      <w:pPr>
        <w:pStyle w:val="Normal"/>
        <w:bidi w:val="0"/>
        <w:spacing w:before="0" w:after="0"/>
        <w:ind w:left="0" w:right="0" w:hanging="0"/>
        <w:jc w:val="center"/>
        <w:rPr>
          <w:rFonts w:ascii="Times New Roman" w:hAnsi="Times New Roman"/>
          <w:sz w:val="24"/>
          <w:szCs w:val="24"/>
        </w:rPr>
      </w:pPr>
      <w:r>
        <w:rPr>
          <w:rFonts w:ascii="Times New Roman" w:hAnsi="Times New Roman"/>
          <w:sz w:val="24"/>
          <w:szCs w:val="24"/>
        </w:rPr>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Подачу заявки 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(ч. 5 ст. 43 Закона N 44-ФЗ).</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Укажите наименование страны происхождения товара в соответствии с Общероссийским классификатором стран (ОКСМ). Это необходимо сделать, в том числе если вы поставляете товар, выполняя работы (оказывая услуги) в рамках закупки.</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Если вы предлагаете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отразите в заявке конкретные характеристики показателей данного товара. Эти показатели должны соответствовать показателям, содержащимся в описании объекта закупки. Укажите также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использованы следующие знаки и обозначения:</w:t>
      </w:r>
    </w:p>
    <w:p>
      <w:pPr>
        <w:pStyle w:val="Normal"/>
        <w:numPr>
          <w:ilvl w:val="0"/>
          <w:numId w:val="1"/>
        </w:numPr>
        <w:bidi w:val="0"/>
        <w:spacing w:before="0" w:after="0"/>
        <w:ind w:left="720" w:right="0" w:hanging="360"/>
        <w:jc w:val="both"/>
        <w:rPr>
          <w:rFonts w:ascii="Times New Roman" w:hAnsi="Times New Roman"/>
          <w:sz w:val="24"/>
          <w:szCs w:val="24"/>
        </w:rPr>
      </w:pPr>
      <w:bookmarkStart w:id="0" w:name="Par6"/>
      <w:bookmarkEnd w:id="0"/>
      <w:r>
        <w:rPr>
          <w:rFonts w:ascii="Times New Roman" w:hAnsi="Times New Roman"/>
          <w:sz w:val="24"/>
          <w:szCs w:val="24"/>
        </w:rPr>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 xml:space="preserve">символ "≥" слева от числа означает, что показателю будет соответствовать значение больше указанного или равное ему; </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символ "≤" слева от числа означает, что показателю будет соответствовать значение меньше указанного или равное ему;</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союз "или" между значениями означает, что показателю будет соответствовать любое из значений или диапазон значений, разделенных союзом;</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pPr>
        <w:pStyle w:val="Normal"/>
        <w:numPr>
          <w:ilvl w:val="0"/>
          <w:numId w:val="1"/>
        </w:numPr>
        <w:bidi w:val="0"/>
        <w:spacing w:before="0" w:after="0"/>
        <w:ind w:left="720" w:right="0" w:hanging="360"/>
        <w:jc w:val="both"/>
        <w:rPr>
          <w:rFonts w:ascii="Times New Roman" w:hAnsi="Times New Roman"/>
          <w:sz w:val="24"/>
          <w:szCs w:val="24"/>
        </w:rPr>
      </w:pPr>
      <w:r>
        <w:rPr>
          <w:rFonts w:ascii="Times New Roman" w:hAnsi="Times New Roman"/>
          <w:sz w:val="24"/>
          <w:szCs w:val="24"/>
        </w:rPr>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Примерная форма сведений о конкретных показателях товара:</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r>
    </w:p>
    <w:tbl>
      <w:tblPr>
        <w:tblW w:w="10022" w:type="dxa"/>
        <w:jc w:val="center"/>
        <w:tblInd w:w="0" w:type="dxa"/>
        <w:tblLayout w:type="fixed"/>
        <w:tblCellMar>
          <w:top w:w="0" w:type="dxa"/>
          <w:left w:w="108" w:type="dxa"/>
          <w:bottom w:w="0" w:type="dxa"/>
          <w:right w:w="108" w:type="dxa"/>
        </w:tblCellMar>
      </w:tblPr>
      <w:tblGrid>
        <w:gridCol w:w="385"/>
        <w:gridCol w:w="1849"/>
        <w:gridCol w:w="1560"/>
        <w:gridCol w:w="1930"/>
        <w:gridCol w:w="1418"/>
        <w:gridCol w:w="1417"/>
        <w:gridCol w:w="1462"/>
      </w:tblGrid>
      <w:tr>
        <w:trPr/>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lang w:val="en-US"/>
              </w:rPr>
            </w:pPr>
            <w:r>
              <w:rPr>
                <w:rFonts w:ascii="Times New Roman" w:hAnsi="Times New Roman"/>
                <w:sz w:val="24"/>
                <w:szCs w:val="24"/>
                <w:lang w:val="en-US"/>
              </w:rPr>
              <w:t>N</w:t>
            </w:r>
          </w:p>
        </w:tc>
        <w:tc>
          <w:tcPr>
            <w:tcW w:w="18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Наименование товара (в соответствии с описанием объекта закупки)</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Информация о товарном знаке</w:t>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Наименование страны происхождения товара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Значение показателя</w:t>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center"/>
              <w:rPr>
                <w:rFonts w:ascii="Times New Roman" w:hAnsi="Times New Roman"/>
                <w:sz w:val="24"/>
                <w:szCs w:val="24"/>
              </w:rPr>
            </w:pPr>
            <w:r>
              <w:rPr>
                <w:rFonts w:ascii="Times New Roman" w:hAnsi="Times New Roman"/>
                <w:sz w:val="24"/>
                <w:szCs w:val="24"/>
              </w:rPr>
              <w:t>Единицы измерения</w:t>
            </w:r>
          </w:p>
        </w:tc>
      </w:tr>
      <w:tr>
        <w:trPr/>
        <w:tc>
          <w:tcPr>
            <w:tcW w:w="3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lang w:val="en-US"/>
              </w:rPr>
            </w:pPr>
            <w:r>
              <w:rPr>
                <w:rFonts w:ascii="Times New Roman" w:hAnsi="Times New Roman"/>
                <w:sz w:val="24"/>
                <w:szCs w:val="24"/>
                <w:lang w:val="en-US"/>
              </w:rPr>
            </w:r>
          </w:p>
        </w:tc>
        <w:tc>
          <w:tcPr>
            <w:tcW w:w="1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3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8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3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8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3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8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r>
      <w:tr>
        <w:trPr/>
        <w:tc>
          <w:tcPr>
            <w:tcW w:w="3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8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9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14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tc>
      </w:tr>
    </w:tbl>
    <w:p>
      <w:pPr>
        <w:pStyle w:val="Normal"/>
        <w:widowControl w:val="false"/>
        <w:bidi w:val="0"/>
        <w:spacing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Если предмет электронного аукциона - закупка строительных работ, перечисленных в п. 8 ч. 1 ст. 33 Закона N 44-ФЗ, и в описание объекта закупки входит проектная документация (типовая проектная документация, смета на капремонт объекта капстроительства), характеристики предлагаемого участником товара и его товарный знак (при наличии) в заявку включать не нужно.</w:t>
      </w:r>
    </w:p>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t>К участникам электронного аукциона могут быть предъявлены требования по п. 1 ч. 1 ст. 31 Закона N 44-ФЗ и дополнительные требования (ч. 2, 2.1 ст. 31 Закона N 44-ФЗ). Документы, подтверждающие соответствие участника закупки таким требованиям, не включаются в заявку. Их направляет заказчику (по состоянию на дату и время их направления) оператор электронной площадки из реестра участников закупок, аккредитованных на электронной площадке.</w:t>
      </w:r>
    </w:p>
    <w:sectPr>
      <w:headerReference w:type="default" r:id="rId2"/>
      <w:type w:val="nextPage"/>
      <w:pgSz w:w="11906" w:h="16838"/>
      <w:pgMar w:left="567" w:right="567" w:gutter="0" w:header="397" w:top="56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spacing w:before="0" w:after="200"/>
      <w:ind w:left="0" w:right="0" w:hanging="0"/>
      <w:jc w:val="right"/>
      <w:rPr>
        <w:rFonts w:ascii="Times New Roman" w:hAnsi="Times New Roman"/>
        <w:sz w:val="14"/>
        <w:szCs w:val="14"/>
      </w:rPr>
    </w:pPr>
    <w:r>
      <w:rPr>
        <w:rFonts w:ascii="Times New Roman" w:hAnsi="Times New Roman"/>
        <w:sz w:val="14"/>
        <w:szCs w:val="1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Symbol" w:cs="Times New Roman"/>
      <w:color w:val="auto"/>
      <w:kern w:val="2"/>
      <w:sz w:val="22"/>
      <w:szCs w:val="22"/>
      <w:lang w:val="ru-RU" w:eastAsia="en-US"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rPr>
  </w:style>
  <w:style w:type="character" w:styleId="Style15">
    <w:name w:val="Нижний колонтитул Знак"/>
    <w:basedOn w:val="DefaultParagraphFont"/>
    <w:qFormat/>
    <w:rPr>
      <w:rFonts w:ascii="Times New Roman" w:hAnsi="Times New Roman"/>
    </w:rPr>
  </w:style>
  <w:style w:type="character" w:styleId="Style16">
    <w:name w:val="Hyperlink"/>
    <w:basedOn w:val="DefaultParagraphFont"/>
    <w:rPr>
      <w:rFonts w:ascii="Times New Roman" w:hAnsi="Times New Roman"/>
      <w:color w:val="0000FF"/>
      <w:sz w:val="24"/>
      <w:szCs w:val="24"/>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Table">
    <w:name w:val="Normal Table"/>
    <w:qFormat/>
    <w:pPr>
      <w:widowControl/>
      <w:bidi w:val="0"/>
      <w:jc w:val="left"/>
      <w:textAlignment w:val="auto"/>
    </w:pPr>
    <w:rPr>
      <w:rFonts w:ascii="Calibri" w:hAnsi="Calibri" w:eastAsia="Symbol" w:cs="Calibri"/>
      <w:color w:val="auto"/>
      <w:kern w:val="2"/>
      <w:sz w:val="20"/>
      <w:szCs w:val="20"/>
      <w:lang w:val="ru-RU" w:eastAsia="ru-RU" w:bidi="ar-SA"/>
    </w:rPr>
  </w:style>
  <w:style w:type="paragraph" w:styleId="Style22">
    <w:name w:val="Колонтитул"/>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TableGrid">
    <w:name w:val="Table Grid"/>
    <w:basedOn w:val="NormalTable"/>
    <w:qFormat/>
    <w:pPr>
      <w:pBdr/>
      <w:spacing w:lineRule="auto" w:line="240" w:before="0" w:after="0"/>
    </w:pPr>
    <w:rPr/>
  </w:style>
  <w:style w:type="paragraph" w:styleId="NormalWeb">
    <w:name w:val="Normal (Web)"/>
    <w:basedOn w:val="Normal"/>
    <w:qFormat/>
    <w:pPr>
      <w:spacing w:lineRule="auto" w:line="240" w:beforeAutospacing="1" w:afterAutospacing="1"/>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LibreOffice/7.4.4.2$Windows_X86_64 LibreOffice_project/85569322deea74ec9134968a29af2df5663baa21</Application>
  <AppVersion>15.0000</AppVersion>
  <Pages>3</Pages>
  <Words>1431</Words>
  <Characters>10272</Characters>
  <CharactersWithSpaces>11671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2018-03-29T13:10:00Z</dcterms:created>
  <dc:creator>Филатова Марина Артурьевна</dc:creator>
  <dc:description/>
  <dc:language>ru-RU</dc:language>
  <cp:lastModifiedBy/>
  <cp:lastPrinted>2019-11-14T13:12:00Z</cp:lastPrinted>
  <dcterms:modified xsi:type="dcterms:W3CDTF">2022-01-13T15:02:00Z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Elena</vt:lpwstr>
  </property>
</Properties>
</file>